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22" w:rsidRPr="00C4738F" w:rsidRDefault="00EB6E0B" w:rsidP="00C4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E0B">
        <w:rPr>
          <w:rFonts w:ascii="Times New Roman" w:hAnsi="Times New Roman" w:cs="Times New Roman"/>
        </w:rPr>
        <w:t xml:space="preserve">                               </w:t>
      </w:r>
      <w:r w:rsidRPr="00C473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1922" w:rsidRPr="00C4738F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A91922" w:rsidRPr="00C4738F" w:rsidRDefault="00EB6E0B" w:rsidP="00C4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1922" w:rsidRPr="00C4738F">
        <w:rPr>
          <w:rFonts w:ascii="Times New Roman" w:hAnsi="Times New Roman" w:cs="Times New Roman"/>
          <w:sz w:val="28"/>
          <w:szCs w:val="28"/>
        </w:rPr>
        <w:t>по реализации муниципальной</w:t>
      </w:r>
    </w:p>
    <w:p w:rsidR="00A91922" w:rsidRPr="00C4738F" w:rsidRDefault="00A91922" w:rsidP="00C47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«Дорожной карты» организация охвата детей в системе</w:t>
      </w:r>
    </w:p>
    <w:p w:rsidR="00A91922" w:rsidRPr="00C4738F" w:rsidRDefault="00EB6E0B" w:rsidP="00C4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91922" w:rsidRPr="00C4738F"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</w:t>
      </w:r>
    </w:p>
    <w:p w:rsidR="00A91922" w:rsidRPr="00C4738F" w:rsidRDefault="00C4738F" w:rsidP="00C47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прель 20</w:t>
      </w:r>
      <w:r w:rsidR="00EB6E0B" w:rsidRPr="00C4738F">
        <w:rPr>
          <w:rFonts w:ascii="Times New Roman" w:hAnsi="Times New Roman" w:cs="Times New Roman"/>
          <w:sz w:val="28"/>
          <w:szCs w:val="28"/>
        </w:rPr>
        <w:t>23г.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является приоритетным направлением государственной образовательной политики в Российской Федерации.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В соответствии с Указом Президента №599 от 7 мая 2012 года № 599 «О мерах по реализации государственной политики в области образования и науки» в 2022 году охват детей в возрасте от 5 до 18 лет дополнительными общеобразовательными программами должен достичь 75-100%.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Основными направлениями реализации Концепции определены следующие: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1.</w:t>
      </w:r>
      <w:r w:rsidRPr="00C4738F">
        <w:rPr>
          <w:rFonts w:ascii="Times New Roman" w:hAnsi="Times New Roman" w:cs="Times New Roman"/>
          <w:sz w:val="28"/>
          <w:szCs w:val="28"/>
        </w:rPr>
        <w:tab/>
        <w:t>Обеспечение доступности дополнительных общеобразовательных программ.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2.</w:t>
      </w:r>
      <w:r w:rsidRPr="00C4738F">
        <w:rPr>
          <w:rFonts w:ascii="Times New Roman" w:hAnsi="Times New Roman" w:cs="Times New Roman"/>
          <w:sz w:val="28"/>
          <w:szCs w:val="28"/>
        </w:rPr>
        <w:tab/>
        <w:t>Расширение спектра дополнительных общеобразовательных программ.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3.</w:t>
      </w:r>
      <w:r w:rsidRPr="00C4738F">
        <w:rPr>
          <w:rFonts w:ascii="Times New Roman" w:hAnsi="Times New Roman" w:cs="Times New Roman"/>
          <w:sz w:val="28"/>
          <w:szCs w:val="28"/>
        </w:rPr>
        <w:tab/>
        <w:t>Развитие системы управления качеством реализации дополнительных общеобразовательных программ.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Цель приоритетного проекта - обеспечение в 2022 году охвата не менее 75-100% детей в возрасте от 5 до 18 лет, качественными дополнительными общеобразовательными программами.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Приоритетный проект ориентирован на достижение следующих результатов: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-создание во всех субъектах Российской Федерации региональных систем дополнительного образования детей, которые на основе лучших практик обеспечивают реализацию современных, вариативных и востребованных дополнительных общеобразовательных программ различных направленностей для детей, в том числе технической и естественно-научной, соответствующих интересам детей и их родителей.</w:t>
      </w:r>
    </w:p>
    <w:p w:rsidR="00A91922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hAnsi="Times New Roman" w:cs="Times New Roman"/>
          <w:sz w:val="28"/>
          <w:szCs w:val="28"/>
        </w:rPr>
        <w:t>Функционирование центра дополнительного образования детей, в том числе на базе общеобразовательных учреждений и образовательных организаций, выполняющего функции ресурсного, учебно-методического, организационного, экспертно-консультационного и социокультурного центра в региональной системе дополнительного образования детей, обеспечивающего согласованное развитие</w:t>
      </w:r>
      <w:r w:rsidRPr="00C4738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дополнительных общеразвивающих программ для детей различной направленности (технической, естественнонаучной, художественной, </w:t>
      </w:r>
      <w:proofErr w:type="spellStart"/>
      <w:r w:rsidRPr="00C4738F">
        <w:rPr>
          <w:rFonts w:ascii="Times New Roman" w:hAnsi="Times New Roman" w:cs="Times New Roman"/>
          <w:sz w:val="28"/>
          <w:szCs w:val="28"/>
          <w:lang w:eastAsia="ru-RU" w:bidi="ru-RU"/>
        </w:rPr>
        <w:t>гуманитарно</w:t>
      </w:r>
      <w:r w:rsidRPr="00C4738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педагогической</w:t>
      </w:r>
      <w:proofErr w:type="spellEnd"/>
      <w:r w:rsidRPr="00C4738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C4738F">
        <w:rPr>
          <w:rFonts w:ascii="Times New Roman" w:hAnsi="Times New Roman" w:cs="Times New Roman"/>
          <w:sz w:val="28"/>
          <w:szCs w:val="28"/>
          <w:lang w:eastAsia="ru-RU" w:bidi="ru-RU"/>
        </w:rPr>
        <w:t>туристскокраеведческой</w:t>
      </w:r>
      <w:proofErr w:type="spellEnd"/>
      <w:r w:rsidRPr="00C4738F">
        <w:rPr>
          <w:rFonts w:ascii="Times New Roman" w:hAnsi="Times New Roman" w:cs="Times New Roman"/>
          <w:sz w:val="28"/>
          <w:szCs w:val="28"/>
          <w:lang w:eastAsia="ru-RU" w:bidi="ru-RU"/>
        </w:rPr>
        <w:t>, физкультурно-спортивной).</w:t>
      </w:r>
    </w:p>
    <w:p w:rsidR="00A91922" w:rsidRPr="00C4738F" w:rsidRDefault="00A91922" w:rsidP="00C473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Функционирование общедоступного федерального навигатора, </w:t>
      </w: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позволяющего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 и обеспечивающий возможность проектирования индивидуальных образовательных траекторий ребенка; - формирование системы многоэтапных и </w:t>
      </w:r>
      <w:proofErr w:type="spellStart"/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разноуровневых</w:t>
      </w:r>
      <w:proofErr w:type="spellEnd"/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 для детей, нацеленной на повышение мотивации детей, раскрытие и развитие способностей каждого ребенка, а также их раннюю профориентацию.</w:t>
      </w:r>
    </w:p>
    <w:p w:rsidR="00A91922" w:rsidRPr="00C4738F" w:rsidRDefault="00A91922" w:rsidP="00C473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целью обеспечения условий для формирования открытого образовательного пространства обеспечивающего осознанное жизненное самоопределение и успешную социализацию детей и молодежи Управление образования совместно с образовательными организациями разработало план мероприятий (дорожная карта) по реализации организация охвата детей в системе «Навигатор дополнительного образования </w:t>
      </w:r>
      <w:proofErr w:type="gramStart"/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детей» </w:t>
      </w:r>
      <w:r w:rsidR="00514F9D"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Сергокалинского</w:t>
      </w:r>
      <w:proofErr w:type="gramEnd"/>
      <w:r w:rsidR="00514F9D"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2022</w:t>
      </w:r>
      <w:r w:rsidR="00514F9D"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-23г.г.</w:t>
      </w: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год.</w:t>
      </w:r>
    </w:p>
    <w:p w:rsidR="00A91922" w:rsidRPr="00C4738F" w:rsidRDefault="00A91922" w:rsidP="00C473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дорожной карты определены основные направления реализации организации охвата детей в системе «Навигатор дополнительного образования детей» которые позволяют скоординировать комплекс образовательных проектов, разработать и внедрить новые формы и технологии в сфере образовательных услуг.</w:t>
      </w:r>
    </w:p>
    <w:p w:rsidR="00A91922" w:rsidRPr="00C4738F" w:rsidRDefault="00A91922" w:rsidP="00C473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обеспечения доступности детей к дополнительному образованию проведен мониторинг вовлеченности детей в систему дополнительного образования.</w:t>
      </w:r>
    </w:p>
    <w:p w:rsidR="00A91922" w:rsidRPr="00C4738F" w:rsidRDefault="00A91922" w:rsidP="00C473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73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Показатель «Доля детей, охваченных дополнительными общеобразовательными программами учреждениях, подведомственных Управлению образования на всех уровнях образования от общей численности детей и молодежи в возрасте от 5 до 18 лет» составляет 57,2 %.</w:t>
      </w:r>
    </w:p>
    <w:p w:rsidR="00EB6E0B" w:rsidRPr="00C4738F" w:rsidRDefault="00A91922" w:rsidP="00C473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Усилить работу по охвату детей системе «Навигатор дополнительного образования» </w:t>
      </w:r>
      <w:proofErr w:type="gramStart"/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школам  и</w:t>
      </w:r>
      <w:proofErr w:type="gramEnd"/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ДОУ с низким охватом детей в навиг</w:t>
      </w:r>
      <w:r w:rsidR="000254A0"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аторе ДО: МКОУ «Сергокалинская С</w:t>
      </w:r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ОШ»2», МКОУ «</w:t>
      </w:r>
      <w:proofErr w:type="spellStart"/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Кичигамринская</w:t>
      </w:r>
      <w:proofErr w:type="spellEnd"/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СОШ», МКОУ «</w:t>
      </w:r>
      <w:proofErr w:type="spellStart"/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Мургукская</w:t>
      </w:r>
      <w:proofErr w:type="spellEnd"/>
      <w:r w:rsidRPr="00C473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СОШ»,МКДОУ «Детский сад №3», МКДОУ «Детский сад №4»</w:t>
      </w:r>
    </w:p>
    <w:p w:rsidR="000254A0" w:rsidRPr="00C4738F" w:rsidRDefault="00EB6E0B" w:rsidP="00C4738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738F">
        <w:rPr>
          <w:rFonts w:ascii="Times New Roman" w:hAnsi="Times New Roman" w:cs="Times New Roman"/>
          <w:sz w:val="28"/>
          <w:szCs w:val="28"/>
          <w:lang w:eastAsia="ru-RU" w:bidi="ru-RU"/>
        </w:rPr>
        <w:t>В направлении обеспечения доступности дополнительного образования для детей наблюдается позитивная динамика роста охвата детей дополнительными общеобразовательными программами. Сеть организаций дополнительного образования остается постоянной. При этом в городе действует распределённая модель обеспечения доступности дополнительного образования на основе сетевого взаимодействия учреждений дополнительного образования и других образовательных организации города и проведением занятий на базе школ и городского стадиона</w:t>
      </w:r>
      <w:r w:rsidR="000254A0" w:rsidRPr="00C4738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0254A0" w:rsidRPr="00C4738F" w:rsidRDefault="000254A0" w:rsidP="00C4738F">
      <w:pPr>
        <w:ind w:firstLine="567"/>
        <w:jc w:val="both"/>
        <w:rPr>
          <w:lang w:eastAsia="ru-RU" w:bidi="ru-RU"/>
        </w:rPr>
      </w:pPr>
    </w:p>
    <w:p w:rsidR="000254A0" w:rsidRPr="00C4738F" w:rsidRDefault="000254A0" w:rsidP="00C4738F">
      <w:pPr>
        <w:ind w:firstLine="567"/>
        <w:jc w:val="both"/>
        <w:rPr>
          <w:lang w:eastAsia="ru-RU" w:bidi="ru-RU"/>
        </w:rPr>
      </w:pPr>
    </w:p>
    <w:tbl>
      <w:tblPr>
        <w:tblStyle w:val="a3"/>
        <w:tblpPr w:leftFromText="180" w:rightFromText="180" w:horzAnchor="margin" w:tblpY="687"/>
        <w:tblW w:w="0" w:type="auto"/>
        <w:tblLook w:val="04A0" w:firstRow="1" w:lastRow="0" w:firstColumn="1" w:lastColumn="0" w:noHBand="0" w:noVBand="1"/>
      </w:tblPr>
      <w:tblGrid>
        <w:gridCol w:w="4888"/>
        <w:gridCol w:w="1064"/>
        <w:gridCol w:w="1086"/>
        <w:gridCol w:w="1255"/>
        <w:gridCol w:w="1278"/>
      </w:tblGrid>
      <w:tr w:rsidR="000254A0" w:rsidRPr="004123BB" w:rsidTr="00C4738F">
        <w:trPr>
          <w:trHeight w:val="1126"/>
        </w:trPr>
        <w:tc>
          <w:tcPr>
            <w:tcW w:w="4892" w:type="dxa"/>
            <w:noWrap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</w:t>
            </w:r>
          </w:p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             Образовательная организация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Детей обучается</w:t>
            </w:r>
          </w:p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254A0" w:rsidRPr="00C4738F" w:rsidRDefault="000254A0" w:rsidP="00416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Детей обучалось </w:t>
            </w:r>
            <w:proofErr w:type="gram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в тек</w:t>
            </w:r>
            <w:proofErr w:type="gram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254A0" w:rsidRPr="00C4738F" w:rsidRDefault="000254A0" w:rsidP="00416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Услуг оказывается</w:t>
            </w:r>
          </w:p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254A0" w:rsidRPr="00C4738F" w:rsidRDefault="000254A0" w:rsidP="00416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Услуг оказывалось </w:t>
            </w:r>
            <w:proofErr w:type="gram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в тек</w:t>
            </w:r>
            <w:proofErr w:type="gram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МБУДО «ДДТ»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МКУДО «ДЮСШ с. </w:t>
            </w:r>
            <w:proofErr w:type="spell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Мюрего</w:t>
            </w:r>
            <w:proofErr w:type="spell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МКУ ДО «ДШИ с. Сергокала»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Аймаумахинская</w:t>
            </w:r>
            <w:proofErr w:type="spell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Маммаульская</w:t>
            </w:r>
            <w:proofErr w:type="spell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  СОШ»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Ванашимахинская</w:t>
            </w:r>
            <w:proofErr w:type="spell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 СОШ 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Дегвинская</w:t>
            </w:r>
            <w:proofErr w:type="spell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Кичигамринская</w:t>
            </w:r>
            <w:proofErr w:type="spell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C4738F" w:rsidRDefault="000254A0" w:rsidP="004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>Аялизимахинская</w:t>
            </w:r>
            <w:proofErr w:type="spellEnd"/>
            <w:r w:rsidRPr="00C4738F">
              <w:rPr>
                <w:rFonts w:ascii="Times New Roman" w:hAnsi="Times New Roman" w:cs="Times New Roman"/>
                <w:sz w:val="20"/>
                <w:szCs w:val="20"/>
              </w:rPr>
              <w:t xml:space="preserve"> СОШ » Сергокалинского района</w:t>
            </w:r>
          </w:p>
        </w:tc>
        <w:tc>
          <w:tcPr>
            <w:tcW w:w="106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6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5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4" w:type="dxa"/>
          </w:tcPr>
          <w:p w:rsidR="000254A0" w:rsidRPr="00C4738F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Цурмахинская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НОШ»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Краснопартизанская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Балтамахинская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Новомугринская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Кадиркентская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Бурдекинская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Нижнемулебкинская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 Республика Дагестан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МКДОУ «Детский сад 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с.Мюрего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Бурхимахинская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«Сергокалинская СОШ №2»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«Сергокалинская СОШ №1»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Мургукская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МКДОУ «Детский сад №4 с. Сергокала „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МКДОУ «Детский сад №3 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с.Сергокала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Урахинская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«Канасирагинская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Мюрегинская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 СОШ»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 xml:space="preserve">МКДОУ «Детский сад №1 </w:t>
            </w:r>
            <w:proofErr w:type="spellStart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с.Сергокала</w:t>
            </w:r>
            <w:proofErr w:type="spellEnd"/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254A0" w:rsidTr="00C4738F">
        <w:trPr>
          <w:trHeight w:val="255"/>
        </w:trPr>
        <w:tc>
          <w:tcPr>
            <w:tcW w:w="4892" w:type="dxa"/>
            <w:noWrap/>
            <w:hideMark/>
          </w:tcPr>
          <w:p w:rsidR="000254A0" w:rsidRPr="004123BB" w:rsidRDefault="000254A0" w:rsidP="00416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3BB">
              <w:rPr>
                <w:rFonts w:ascii="Times New Roman" w:hAnsi="Times New Roman" w:cs="Times New Roman"/>
                <w:sz w:val="16"/>
                <w:szCs w:val="16"/>
              </w:rPr>
              <w:t>МКДОУ «Детский сад „Олимпийский“» Сергокалинского района</w:t>
            </w:r>
          </w:p>
        </w:tc>
        <w:tc>
          <w:tcPr>
            <w:tcW w:w="106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6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5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4" w:type="dxa"/>
          </w:tcPr>
          <w:p w:rsidR="000254A0" w:rsidRDefault="000254A0" w:rsidP="00416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</w:tbl>
    <w:p w:rsidR="009C4076" w:rsidRPr="000254A0" w:rsidRDefault="009C4076" w:rsidP="000254A0">
      <w:pPr>
        <w:rPr>
          <w:lang w:eastAsia="ru-RU" w:bidi="ru-RU"/>
        </w:rPr>
      </w:pPr>
    </w:p>
    <w:sectPr w:rsidR="009C4076" w:rsidRPr="000254A0" w:rsidSect="00C473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2"/>
    <w:rsid w:val="000254A0"/>
    <w:rsid w:val="00514F9D"/>
    <w:rsid w:val="009C4076"/>
    <w:rsid w:val="00A91922"/>
    <w:rsid w:val="00C4738F"/>
    <w:rsid w:val="00E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CC8B"/>
  <w15:docId w15:val="{0C7FF7EF-B18D-4901-B05F-273A097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Uma</cp:lastModifiedBy>
  <cp:revision>4</cp:revision>
  <dcterms:created xsi:type="dcterms:W3CDTF">2023-03-30T12:19:00Z</dcterms:created>
  <dcterms:modified xsi:type="dcterms:W3CDTF">2023-04-06T19:48:00Z</dcterms:modified>
</cp:coreProperties>
</file>